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BD3" w:rsidRDefault="00D16366">
      <w:pPr>
        <w:spacing w:line="240" w:lineRule="atLeast"/>
        <w:jc w:val="center"/>
      </w:pPr>
      <w:bookmarkStart w:id="0" w:name="_GoBack"/>
      <w:bookmarkEnd w:id="0"/>
      <w:r>
        <w:rPr>
          <w:b/>
          <w:bCs/>
        </w:rPr>
        <w:t>HATÁSVIZSGÁLATI LAP</w:t>
      </w:r>
    </w:p>
    <w:p w:rsidR="00EE3BD3" w:rsidRDefault="00D16366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az önkormányzati adóügyekre vonatkozó adóeljárási szabályokról szóló önkormányzati rendelet megalkotásához</w:t>
      </w:r>
    </w:p>
    <w:p w:rsidR="00EE3BD3" w:rsidRDefault="00D16366">
      <w:pPr>
        <w:spacing w:line="240" w:lineRule="atLeast"/>
        <w:jc w:val="center"/>
        <w:rPr>
          <w:b/>
        </w:rPr>
      </w:pPr>
      <w:r>
        <w:rPr>
          <w:b/>
        </w:rPr>
        <w:t>Tájékoztatás előzetes hatásvizsgálat eredményéről</w:t>
      </w:r>
    </w:p>
    <w:p w:rsidR="00EE3BD3" w:rsidRDefault="00EE3BD3">
      <w:pPr>
        <w:spacing w:line="240" w:lineRule="atLeast"/>
        <w:jc w:val="center"/>
        <w:rPr>
          <w:b/>
          <w:bCs/>
        </w:rPr>
      </w:pPr>
    </w:p>
    <w:p w:rsidR="00EE3BD3" w:rsidRDefault="00D16366">
      <w:pPr>
        <w:spacing w:line="240" w:lineRule="atLeast"/>
        <w:jc w:val="both"/>
      </w:pPr>
      <w:r>
        <w:t> </w:t>
      </w:r>
      <w:r>
        <w:rPr>
          <w:b/>
          <w:bCs/>
        </w:rPr>
        <w:t>1.      Társadalmi hatások</w:t>
      </w:r>
    </w:p>
    <w:p w:rsidR="00EE3BD3" w:rsidRDefault="00D16366">
      <w:pPr>
        <w:spacing w:after="0" w:line="240" w:lineRule="atLeast"/>
        <w:ind w:right="116"/>
        <w:jc w:val="both"/>
      </w:pPr>
      <w:r>
        <w:t xml:space="preserve">A rendelet megalkotása az adózók számára kényelmesebb ügyfélkapcsolati megoldásokat biztosít. </w:t>
      </w:r>
    </w:p>
    <w:p w:rsidR="00EE3BD3" w:rsidRDefault="00EE3BD3">
      <w:pPr>
        <w:spacing w:line="240" w:lineRule="atLeast"/>
        <w:jc w:val="both"/>
      </w:pPr>
    </w:p>
    <w:p w:rsidR="00EE3BD3" w:rsidRDefault="00D16366">
      <w:pPr>
        <w:spacing w:line="240" w:lineRule="atLeast"/>
        <w:jc w:val="both"/>
      </w:pPr>
      <w:r>
        <w:t> </w:t>
      </w:r>
      <w:r>
        <w:rPr>
          <w:b/>
          <w:bCs/>
        </w:rPr>
        <w:t>2.      Gazdasági, költségvetési hatások</w:t>
      </w:r>
    </w:p>
    <w:p w:rsidR="00EE3BD3" w:rsidRDefault="00D16366">
      <w:pPr>
        <w:pStyle w:val="Default"/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 rendelettervezet megvalósításához szükséges anyagi háttér Dunakeszi Város Önkormányzata k</w:t>
      </w:r>
      <w:r>
        <w:rPr>
          <w:rFonts w:ascii="Calibri" w:hAnsi="Calibri" w:cs="Calibri"/>
          <w:color w:val="auto"/>
          <w:sz w:val="22"/>
          <w:szCs w:val="22"/>
        </w:rPr>
        <w:t>öltségvetésben rendelkezésre áll.</w:t>
      </w:r>
    </w:p>
    <w:p w:rsidR="00EE3BD3" w:rsidRDefault="00EE3BD3">
      <w:pPr>
        <w:spacing w:line="240" w:lineRule="atLeast"/>
        <w:jc w:val="both"/>
        <w:rPr>
          <w:b/>
          <w:bCs/>
        </w:rPr>
      </w:pPr>
    </w:p>
    <w:p w:rsidR="00EE3BD3" w:rsidRDefault="00D16366">
      <w:pPr>
        <w:spacing w:line="240" w:lineRule="atLeast"/>
        <w:jc w:val="both"/>
      </w:pPr>
      <w:r>
        <w:rPr>
          <w:b/>
          <w:bCs/>
        </w:rPr>
        <w:t> 3.      Környezeti és egészségügyi következmények</w:t>
      </w:r>
    </w:p>
    <w:p w:rsidR="00EE3BD3" w:rsidRDefault="00D16366">
      <w:pPr>
        <w:pStyle w:val="Default"/>
        <w:spacing w:line="24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A rendelettervezet környezeti és egészségügyi következményekkel nem jár.</w:t>
      </w:r>
    </w:p>
    <w:p w:rsidR="00EE3BD3" w:rsidRDefault="00EE3BD3">
      <w:pPr>
        <w:spacing w:line="240" w:lineRule="atLeast"/>
        <w:jc w:val="both"/>
      </w:pPr>
    </w:p>
    <w:p w:rsidR="00EE3BD3" w:rsidRDefault="00D16366">
      <w:pPr>
        <w:spacing w:line="240" w:lineRule="atLeast"/>
        <w:jc w:val="both"/>
      </w:pPr>
      <w:r>
        <w:t> </w:t>
      </w:r>
      <w:r>
        <w:rPr>
          <w:b/>
          <w:bCs/>
        </w:rPr>
        <w:t>4.      Adminisztratív terheket befolyásoló hatások</w:t>
      </w:r>
    </w:p>
    <w:p w:rsidR="00EE3BD3" w:rsidRDefault="00D16366">
      <w:pPr>
        <w:pStyle w:val="Default"/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 rendelettervezetben foglaltak végrehajtás</w:t>
      </w:r>
      <w:r>
        <w:rPr>
          <w:rFonts w:ascii="Calibri" w:hAnsi="Calibri" w:cs="Calibri"/>
          <w:color w:val="auto"/>
          <w:sz w:val="22"/>
          <w:szCs w:val="22"/>
        </w:rPr>
        <w:t>ára az adminisztratív háttér rendelkezésre áll.</w:t>
      </w:r>
    </w:p>
    <w:p w:rsidR="00EE3BD3" w:rsidRDefault="00EE3BD3">
      <w:pPr>
        <w:spacing w:line="240" w:lineRule="atLeast"/>
        <w:jc w:val="both"/>
      </w:pPr>
    </w:p>
    <w:p w:rsidR="00EE3BD3" w:rsidRDefault="00D16366">
      <w:pPr>
        <w:spacing w:line="240" w:lineRule="atLeast"/>
        <w:jc w:val="both"/>
      </w:pPr>
      <w:r>
        <w:t> </w:t>
      </w:r>
      <w:r>
        <w:rPr>
          <w:b/>
          <w:bCs/>
        </w:rPr>
        <w:t>5.      A jogszabály megalkotásának szükségessége, a jogalkotás elmaradásának várható következményei</w:t>
      </w:r>
    </w:p>
    <w:p w:rsidR="00EE3BD3" w:rsidRDefault="00D16366">
      <w:pPr>
        <w:spacing w:line="240" w:lineRule="atLeast"/>
        <w:jc w:val="both"/>
      </w:pPr>
      <w:r>
        <w:t xml:space="preserve">Az Alaptörvény 32. cikk (2) bekezdése alapján a települési önkormányzat képviselő-testülete a nem </w:t>
      </w:r>
      <w:r>
        <w:t>szabályozott helyi társadalmi viszonyok rendezésére, illetve törvényben kapott felhatalmazás alapján önkormányzati rendeletet alkothat. A helyi adókról szóló 1990. évi C. törvény 43. § (3) bekezdése felhatalmazást ad a települési önkormányzat képviselő tes</w:t>
      </w:r>
      <w:r>
        <w:t xml:space="preserve">tületének, hogy adóval kapcsolatban rendeletet alkosson az adózás rendjéről szóló 2017. évi CL. törvényben nem szabályozott eljárási kérdésben. </w:t>
      </w:r>
    </w:p>
    <w:p w:rsidR="00EE3BD3" w:rsidRDefault="00D16366">
      <w:pPr>
        <w:spacing w:line="240" w:lineRule="atLeast"/>
        <w:jc w:val="both"/>
      </w:pPr>
      <w:r>
        <w:t> </w:t>
      </w:r>
      <w:r>
        <w:rPr>
          <w:b/>
          <w:bCs/>
        </w:rPr>
        <w:t>6.      A jogszabály alkalmazásához szükséges személyi, szervezeti, tárgyi és pénzügyi feltételek</w:t>
      </w:r>
    </w:p>
    <w:p w:rsidR="00EE3BD3" w:rsidRDefault="00D16366">
      <w:pPr>
        <w:spacing w:line="240" w:lineRule="atLeast"/>
        <w:jc w:val="both"/>
      </w:pPr>
      <w:r>
        <w:t>A jogszabály</w:t>
      </w:r>
      <w:r>
        <w:t xml:space="preserve"> alkalmazásához szükséges személyi, szervezeti, tárgyi és pénzügyi feltételek rendelkezésre állnak.</w:t>
      </w:r>
    </w:p>
    <w:p w:rsidR="00EE3BD3" w:rsidRDefault="00EE3BD3">
      <w:pPr>
        <w:spacing w:line="240" w:lineRule="atLeast"/>
      </w:pPr>
    </w:p>
    <w:p w:rsidR="00EE3BD3" w:rsidRDefault="00EE3BD3"/>
    <w:sectPr w:rsidR="00EE3BD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16366">
      <w:pPr>
        <w:spacing w:after="0" w:line="240" w:lineRule="auto"/>
      </w:pPr>
      <w:r>
        <w:separator/>
      </w:r>
    </w:p>
  </w:endnote>
  <w:endnote w:type="continuationSeparator" w:id="0">
    <w:p w:rsidR="00000000" w:rsidRDefault="00D1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1636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D163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EE3BD3"/>
    <w:rsid w:val="00D16366"/>
    <w:rsid w:val="00EE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A7035-6386-4871-AEC3-CC0BD460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2</cp:revision>
  <dcterms:created xsi:type="dcterms:W3CDTF">2023-06-23T07:33:00Z</dcterms:created>
  <dcterms:modified xsi:type="dcterms:W3CDTF">2023-06-23T07:33:00Z</dcterms:modified>
</cp:coreProperties>
</file>